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744" w:rsidRDefault="00E23744" w:rsidP="00E23744">
      <w:pPr>
        <w:spacing w:after="0" w:line="240" w:lineRule="auto"/>
        <w:ind w:left="4956" w:firstLine="708"/>
        <w:rPr>
          <w:rFonts w:ascii="Times New Roman" w:hAnsi="Times New Roman"/>
          <w:sz w:val="24"/>
          <w:szCs w:val="24"/>
        </w:rPr>
      </w:pPr>
      <w:r>
        <w:rPr>
          <w:rFonts w:ascii="Times New Roman" w:hAnsi="Times New Roman"/>
          <w:sz w:val="24"/>
          <w:szCs w:val="24"/>
        </w:rPr>
        <w:t xml:space="preserve">                   </w:t>
      </w:r>
      <w:r w:rsidRPr="00F90F41">
        <w:rPr>
          <w:rFonts w:ascii="Times New Roman" w:hAnsi="Times New Roman"/>
          <w:sz w:val="24"/>
          <w:szCs w:val="24"/>
        </w:rPr>
        <w:t>УТВЕРЖДЕН</w:t>
      </w:r>
    </w:p>
    <w:p w:rsidR="00E23744" w:rsidRPr="00F90F41" w:rsidRDefault="00E23744" w:rsidP="00E23744">
      <w:pPr>
        <w:spacing w:after="0" w:line="240" w:lineRule="auto"/>
        <w:ind w:left="4956" w:firstLine="708"/>
        <w:rPr>
          <w:rFonts w:ascii="Times New Roman" w:hAnsi="Times New Roman"/>
          <w:sz w:val="24"/>
          <w:szCs w:val="24"/>
        </w:rPr>
      </w:pPr>
      <w:r w:rsidRPr="00F90F41">
        <w:rPr>
          <w:rFonts w:ascii="Times New Roman" w:hAnsi="Times New Roman"/>
          <w:sz w:val="24"/>
          <w:szCs w:val="24"/>
        </w:rPr>
        <w:t>Приказом финансово-</w:t>
      </w:r>
    </w:p>
    <w:p w:rsidR="00E23744" w:rsidRPr="00F90F41" w:rsidRDefault="00E23744" w:rsidP="00E23744">
      <w:pPr>
        <w:spacing w:after="0" w:line="240" w:lineRule="auto"/>
        <w:ind w:left="4956" w:firstLine="708"/>
        <w:rPr>
          <w:rFonts w:ascii="Times New Roman" w:hAnsi="Times New Roman"/>
          <w:sz w:val="24"/>
          <w:szCs w:val="24"/>
        </w:rPr>
      </w:pPr>
      <w:r w:rsidRPr="00F90F41">
        <w:rPr>
          <w:rFonts w:ascii="Times New Roman" w:hAnsi="Times New Roman"/>
          <w:sz w:val="24"/>
          <w:szCs w:val="24"/>
        </w:rPr>
        <w:t>казначейского управления</w:t>
      </w:r>
    </w:p>
    <w:p w:rsidR="00E23744" w:rsidRPr="00F90F41" w:rsidRDefault="00E23744" w:rsidP="00E23744">
      <w:pPr>
        <w:spacing w:after="0" w:line="240" w:lineRule="auto"/>
        <w:ind w:left="4956" w:firstLine="708"/>
        <w:rPr>
          <w:rFonts w:ascii="Times New Roman" w:hAnsi="Times New Roman"/>
          <w:sz w:val="24"/>
          <w:szCs w:val="24"/>
        </w:rPr>
      </w:pPr>
      <w:r w:rsidRPr="00F90F41">
        <w:rPr>
          <w:rFonts w:ascii="Times New Roman" w:hAnsi="Times New Roman"/>
          <w:sz w:val="24"/>
          <w:szCs w:val="24"/>
        </w:rPr>
        <w:t xml:space="preserve">администрации </w:t>
      </w:r>
      <w:proofErr w:type="gramStart"/>
      <w:r w:rsidRPr="00F90F41">
        <w:rPr>
          <w:rFonts w:ascii="Times New Roman" w:hAnsi="Times New Roman"/>
          <w:sz w:val="24"/>
          <w:szCs w:val="24"/>
        </w:rPr>
        <w:t>муниципального</w:t>
      </w:r>
      <w:proofErr w:type="gramEnd"/>
    </w:p>
    <w:p w:rsidR="00E23744" w:rsidRPr="00F90F41" w:rsidRDefault="00E23744" w:rsidP="00E23744">
      <w:pPr>
        <w:spacing w:after="0" w:line="240" w:lineRule="auto"/>
        <w:ind w:left="4956" w:firstLine="708"/>
        <w:rPr>
          <w:rFonts w:ascii="Times New Roman" w:hAnsi="Times New Roman"/>
          <w:sz w:val="24"/>
          <w:szCs w:val="24"/>
        </w:rPr>
      </w:pPr>
      <w:r w:rsidRPr="00F90F41">
        <w:rPr>
          <w:rFonts w:ascii="Times New Roman" w:hAnsi="Times New Roman"/>
          <w:sz w:val="24"/>
          <w:szCs w:val="24"/>
        </w:rPr>
        <w:t>образования «Город Астрахань»</w:t>
      </w:r>
    </w:p>
    <w:p w:rsidR="00E23744" w:rsidRPr="00F90F41" w:rsidRDefault="00E23744" w:rsidP="00E23744">
      <w:pPr>
        <w:autoSpaceDE w:val="0"/>
        <w:autoSpaceDN w:val="0"/>
        <w:adjustRightInd w:val="0"/>
        <w:spacing w:after="0" w:line="240" w:lineRule="auto"/>
        <w:jc w:val="both"/>
        <w:rPr>
          <w:rFonts w:ascii="Arial" w:hAnsi="Arial" w:cs="Arial"/>
          <w:sz w:val="24"/>
          <w:szCs w:val="24"/>
        </w:rPr>
      </w:pPr>
      <w:r w:rsidRPr="00F90F41">
        <w:rPr>
          <w:rFonts w:ascii="Times New Roman" w:hAnsi="Times New Roman"/>
          <w:sz w:val="24"/>
          <w:szCs w:val="24"/>
        </w:rPr>
        <w:t xml:space="preserve">                                                                            </w:t>
      </w:r>
      <w:r>
        <w:rPr>
          <w:rFonts w:ascii="Times New Roman" w:hAnsi="Times New Roman"/>
          <w:sz w:val="24"/>
          <w:szCs w:val="24"/>
        </w:rPr>
        <w:t xml:space="preserve">                  о</w:t>
      </w:r>
      <w:r w:rsidRPr="00F90F41">
        <w:rPr>
          <w:rFonts w:ascii="Times New Roman" w:hAnsi="Times New Roman"/>
          <w:sz w:val="24"/>
          <w:szCs w:val="24"/>
        </w:rPr>
        <w:t>т «3</w:t>
      </w:r>
      <w:r>
        <w:rPr>
          <w:rFonts w:ascii="Times New Roman" w:hAnsi="Times New Roman"/>
          <w:sz w:val="24"/>
          <w:szCs w:val="24"/>
        </w:rPr>
        <w:t>0</w:t>
      </w:r>
      <w:r w:rsidRPr="00F90F41">
        <w:rPr>
          <w:rFonts w:ascii="Times New Roman" w:hAnsi="Times New Roman"/>
          <w:sz w:val="24"/>
          <w:szCs w:val="24"/>
        </w:rPr>
        <w:t>» декабря 202</w:t>
      </w:r>
      <w:r>
        <w:rPr>
          <w:rFonts w:ascii="Times New Roman" w:hAnsi="Times New Roman"/>
          <w:sz w:val="24"/>
          <w:szCs w:val="24"/>
        </w:rPr>
        <w:t>1</w:t>
      </w:r>
      <w:r w:rsidRPr="00F90F41">
        <w:rPr>
          <w:rFonts w:ascii="Times New Roman" w:hAnsi="Times New Roman"/>
          <w:sz w:val="24"/>
          <w:szCs w:val="24"/>
        </w:rPr>
        <w:t xml:space="preserve"> № </w:t>
      </w:r>
      <w:r>
        <w:rPr>
          <w:rFonts w:ascii="Times New Roman" w:hAnsi="Times New Roman"/>
          <w:sz w:val="24"/>
          <w:szCs w:val="24"/>
        </w:rPr>
        <w:t>169</w:t>
      </w:r>
    </w:p>
    <w:p w:rsidR="00E23744" w:rsidRDefault="00E23744" w:rsidP="00E23744">
      <w:pPr>
        <w:autoSpaceDE w:val="0"/>
        <w:autoSpaceDN w:val="0"/>
        <w:adjustRightInd w:val="0"/>
        <w:spacing w:after="0" w:line="240" w:lineRule="auto"/>
        <w:jc w:val="center"/>
        <w:outlineLvl w:val="1"/>
        <w:rPr>
          <w:rFonts w:ascii="Times New Roman" w:hAnsi="Times New Roman" w:cs="Times New Roman"/>
          <w:bCs/>
          <w:sz w:val="24"/>
          <w:szCs w:val="24"/>
        </w:rPr>
      </w:pPr>
      <w:bookmarkStart w:id="0" w:name="Par40"/>
      <w:bookmarkEnd w:id="0"/>
    </w:p>
    <w:p w:rsidR="00E23744" w:rsidRPr="00F90F41" w:rsidRDefault="00E23744" w:rsidP="00E23744">
      <w:pPr>
        <w:autoSpaceDE w:val="0"/>
        <w:autoSpaceDN w:val="0"/>
        <w:adjustRightInd w:val="0"/>
        <w:spacing w:after="0" w:line="240" w:lineRule="auto"/>
        <w:jc w:val="center"/>
        <w:outlineLvl w:val="1"/>
        <w:rPr>
          <w:rFonts w:ascii="Times New Roman" w:hAnsi="Times New Roman" w:cs="Times New Roman"/>
          <w:bCs/>
          <w:sz w:val="24"/>
          <w:szCs w:val="24"/>
        </w:rPr>
      </w:pPr>
      <w:r w:rsidRPr="00F90F41">
        <w:rPr>
          <w:rFonts w:ascii="Times New Roman" w:hAnsi="Times New Roman" w:cs="Times New Roman"/>
          <w:bCs/>
          <w:sz w:val="24"/>
          <w:szCs w:val="24"/>
        </w:rPr>
        <w:t>Порядок</w:t>
      </w:r>
    </w:p>
    <w:p w:rsidR="00E23744" w:rsidRPr="00F90F41" w:rsidRDefault="00E23744" w:rsidP="00E23744">
      <w:pPr>
        <w:autoSpaceDE w:val="0"/>
        <w:autoSpaceDN w:val="0"/>
        <w:adjustRightInd w:val="0"/>
        <w:spacing w:after="0" w:line="240" w:lineRule="auto"/>
        <w:jc w:val="center"/>
        <w:outlineLvl w:val="1"/>
        <w:rPr>
          <w:rFonts w:ascii="Times New Roman" w:hAnsi="Times New Roman" w:cs="Times New Roman"/>
          <w:bCs/>
          <w:sz w:val="24"/>
          <w:szCs w:val="24"/>
        </w:rPr>
      </w:pPr>
      <w:r w:rsidRPr="00F90F41">
        <w:rPr>
          <w:rFonts w:ascii="Times New Roman" w:hAnsi="Times New Roman" w:cs="Times New Roman"/>
          <w:bCs/>
          <w:sz w:val="24"/>
          <w:szCs w:val="24"/>
        </w:rPr>
        <w:t>осуществления финансовым органом  администрации муниципального образования</w:t>
      </w:r>
    </w:p>
    <w:p w:rsidR="00E23744" w:rsidRPr="00F90F41" w:rsidRDefault="00E23744" w:rsidP="00E23744">
      <w:pPr>
        <w:autoSpaceDE w:val="0"/>
        <w:autoSpaceDN w:val="0"/>
        <w:adjustRightInd w:val="0"/>
        <w:spacing w:after="0" w:line="240" w:lineRule="auto"/>
        <w:jc w:val="center"/>
        <w:outlineLvl w:val="1"/>
        <w:rPr>
          <w:rFonts w:ascii="Times New Roman" w:hAnsi="Times New Roman" w:cs="Times New Roman"/>
          <w:bCs/>
          <w:sz w:val="24"/>
          <w:szCs w:val="24"/>
        </w:rPr>
      </w:pPr>
      <w:r w:rsidRPr="00F90F41">
        <w:rPr>
          <w:rFonts w:ascii="Times New Roman" w:hAnsi="Times New Roman" w:cs="Times New Roman"/>
          <w:bCs/>
          <w:sz w:val="24"/>
          <w:szCs w:val="24"/>
        </w:rPr>
        <w:t xml:space="preserve"> «Город Астрахань» санкционирования операций со средствами участников</w:t>
      </w:r>
    </w:p>
    <w:p w:rsidR="00E23744" w:rsidRPr="00F90F41" w:rsidRDefault="00E23744" w:rsidP="00E23744">
      <w:pPr>
        <w:autoSpaceDE w:val="0"/>
        <w:autoSpaceDN w:val="0"/>
        <w:adjustRightInd w:val="0"/>
        <w:spacing w:after="0" w:line="240" w:lineRule="auto"/>
        <w:jc w:val="center"/>
        <w:outlineLvl w:val="1"/>
        <w:rPr>
          <w:rFonts w:ascii="Times New Roman" w:hAnsi="Times New Roman" w:cs="Times New Roman"/>
          <w:bCs/>
          <w:sz w:val="24"/>
          <w:szCs w:val="24"/>
        </w:rPr>
      </w:pPr>
      <w:r w:rsidRPr="00F90F41">
        <w:rPr>
          <w:rFonts w:ascii="Times New Roman" w:hAnsi="Times New Roman" w:cs="Times New Roman"/>
          <w:bCs/>
          <w:sz w:val="24"/>
          <w:szCs w:val="24"/>
        </w:rPr>
        <w:t>казначейского сопровождения</w:t>
      </w:r>
    </w:p>
    <w:p w:rsidR="00E23744" w:rsidRPr="00F90F41" w:rsidRDefault="00E23744" w:rsidP="00E23744">
      <w:pPr>
        <w:autoSpaceDE w:val="0"/>
        <w:autoSpaceDN w:val="0"/>
        <w:adjustRightInd w:val="0"/>
        <w:spacing w:after="0" w:line="240" w:lineRule="auto"/>
        <w:jc w:val="both"/>
        <w:rPr>
          <w:rFonts w:ascii="Times New Roman" w:hAnsi="Times New Roman" w:cs="Times New Roman"/>
          <w:sz w:val="24"/>
          <w:szCs w:val="24"/>
        </w:rPr>
      </w:pPr>
    </w:p>
    <w:p w:rsidR="00E23744" w:rsidRPr="00F90F41" w:rsidRDefault="00E23744" w:rsidP="00E23744">
      <w:pPr>
        <w:autoSpaceDE w:val="0"/>
        <w:autoSpaceDN w:val="0"/>
        <w:adjustRightInd w:val="0"/>
        <w:spacing w:after="0" w:line="240" w:lineRule="auto"/>
        <w:ind w:firstLine="567"/>
        <w:jc w:val="both"/>
        <w:outlineLvl w:val="1"/>
        <w:rPr>
          <w:rFonts w:ascii="Times New Roman" w:hAnsi="Times New Roman" w:cs="Times New Roman"/>
          <w:sz w:val="24"/>
          <w:szCs w:val="24"/>
        </w:rPr>
      </w:pPr>
      <w:r w:rsidRPr="00F90F41">
        <w:rPr>
          <w:rFonts w:ascii="Times New Roman" w:hAnsi="Times New Roman" w:cs="Times New Roman"/>
          <w:sz w:val="24"/>
          <w:szCs w:val="24"/>
        </w:rPr>
        <w:t>1. Настоящий Порядок устанавливает порядок осуществления финансовым органом администрации муниципального образования «Город Астрахань» санкционирования операций со средствами участников</w:t>
      </w:r>
      <w:r>
        <w:rPr>
          <w:rFonts w:ascii="Times New Roman" w:hAnsi="Times New Roman" w:cs="Times New Roman"/>
          <w:sz w:val="24"/>
          <w:szCs w:val="24"/>
        </w:rPr>
        <w:t xml:space="preserve"> </w:t>
      </w:r>
      <w:r w:rsidRPr="00F90F41">
        <w:rPr>
          <w:rFonts w:ascii="Times New Roman" w:hAnsi="Times New Roman" w:cs="Times New Roman"/>
          <w:sz w:val="24"/>
          <w:szCs w:val="24"/>
        </w:rPr>
        <w:t>казначейского сопровождения</w:t>
      </w:r>
      <w:r>
        <w:rPr>
          <w:rFonts w:ascii="Times New Roman" w:hAnsi="Times New Roman" w:cs="Times New Roman"/>
          <w:sz w:val="24"/>
          <w:szCs w:val="24"/>
        </w:rPr>
        <w:t xml:space="preserve"> </w:t>
      </w:r>
      <w:r w:rsidRPr="00F90F41">
        <w:rPr>
          <w:rFonts w:ascii="Times New Roman" w:hAnsi="Times New Roman" w:cs="Times New Roman"/>
          <w:sz w:val="24"/>
          <w:szCs w:val="24"/>
        </w:rPr>
        <w:t>(далее – Порядок, финансовый орган):</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1.1. санкционирования операций при казначейском сопровождении средств, определенных решением Городской Думы муниципального образования «Город Астрахань» о бюджете муниципального образования «Город Астрахань» на текущий финансовый год и на плановый период в соответствии с подпунктом 1 пункта 1 статьи 242.26 Бюджетного кодекса Российской Федерации, иных средств, определенных федеральными законами, решениями Правительства Российской Федерации в случаях, предусмотренных подпунктом 2 пункта 1 статьи 242.26</w:t>
      </w:r>
      <w:proofErr w:type="gramEnd"/>
      <w:r w:rsidRPr="00F90F41">
        <w:rPr>
          <w:rFonts w:ascii="Times New Roman" w:hAnsi="Times New Roman" w:cs="Times New Roman"/>
          <w:sz w:val="24"/>
          <w:szCs w:val="24"/>
        </w:rPr>
        <w:t xml:space="preserve"> Бюджетного кодекса Российской Федерации (далее - целевые средства), </w:t>
      </w:r>
      <w:proofErr w:type="gramStart"/>
      <w:r w:rsidRPr="00F90F41">
        <w:rPr>
          <w:rFonts w:ascii="Times New Roman" w:hAnsi="Times New Roman" w:cs="Times New Roman"/>
          <w:sz w:val="24"/>
          <w:szCs w:val="24"/>
        </w:rPr>
        <w:t>используемых</w:t>
      </w:r>
      <w:proofErr w:type="gramEnd"/>
      <w:r w:rsidRPr="00F90F41">
        <w:rPr>
          <w:rFonts w:ascii="Times New Roman" w:hAnsi="Times New Roman" w:cs="Times New Roman"/>
          <w:sz w:val="24"/>
          <w:szCs w:val="24"/>
        </w:rPr>
        <w:t xml:space="preserve"> участниками казначейского сопровождения в соответствии с:</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1" w:name="Par47"/>
      <w:bookmarkEnd w:id="1"/>
      <w:r w:rsidRPr="00F90F41">
        <w:rPr>
          <w:rFonts w:ascii="Times New Roman" w:hAnsi="Times New Roman" w:cs="Times New Roman"/>
          <w:sz w:val="24"/>
          <w:szCs w:val="24"/>
        </w:rPr>
        <w:t>- условиями муниципальных контрактов о поставке товаров, выполнении работ, оказании услуг (далее - муниципальный контракт);</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условиями контрактов (договоров) о поставке товаров, выполнении работ, оказании услуг, заключенных муниципальными бюджетными или автономными учреждениями (далее - контракт учреждения);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2" w:name="Par49"/>
      <w:bookmarkEnd w:id="2"/>
      <w:r w:rsidRPr="00F90F41">
        <w:rPr>
          <w:rFonts w:ascii="Times New Roman" w:hAnsi="Times New Roman" w:cs="Times New Roman"/>
          <w:sz w:val="24"/>
          <w:szCs w:val="24"/>
        </w:rPr>
        <w:t xml:space="preserve">- условиями договоров (соглашений) о предоставлении субсидий, договоров о предоставлении бюджетных инвестиций в соответствии со статьей 80 Бюджетного кодекса Российской Федерации, договоров о предоставлении взносов в уставные (складочные) капиталы (вкладов в имущество) юридических лиц (их дочерних обществ), источником финансового </w:t>
      </w:r>
      <w:proofErr w:type="gramStart"/>
      <w:r w:rsidRPr="00F90F41">
        <w:rPr>
          <w:rFonts w:ascii="Times New Roman" w:hAnsi="Times New Roman" w:cs="Times New Roman"/>
          <w:sz w:val="24"/>
          <w:szCs w:val="24"/>
        </w:rPr>
        <w:t>обеспечения</w:t>
      </w:r>
      <w:proofErr w:type="gramEnd"/>
      <w:r w:rsidRPr="00F90F41">
        <w:rPr>
          <w:rFonts w:ascii="Times New Roman" w:hAnsi="Times New Roman" w:cs="Times New Roman"/>
          <w:sz w:val="24"/>
          <w:szCs w:val="24"/>
        </w:rPr>
        <w:t xml:space="preserve"> исполнения которых являются субсидии и бюджетные инвестиции, указанные в настоящем абзаце (далее - договор (соглашение);</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3" w:name="Par50"/>
      <w:bookmarkEnd w:id="3"/>
      <w:r w:rsidRPr="00F90F41">
        <w:rPr>
          <w:rFonts w:ascii="Times New Roman" w:hAnsi="Times New Roman" w:cs="Times New Roman"/>
          <w:sz w:val="24"/>
          <w:szCs w:val="24"/>
        </w:rPr>
        <w:t xml:space="preserve">- условиями контрактов (договоров) о поставке товаров, выполнении работ, оказании услуг, источником финансового </w:t>
      </w:r>
      <w:proofErr w:type="gramStart"/>
      <w:r w:rsidRPr="00F90F41">
        <w:rPr>
          <w:rFonts w:ascii="Times New Roman" w:hAnsi="Times New Roman" w:cs="Times New Roman"/>
          <w:sz w:val="24"/>
          <w:szCs w:val="24"/>
        </w:rPr>
        <w:t>обеспечения</w:t>
      </w:r>
      <w:proofErr w:type="gramEnd"/>
      <w:r w:rsidRPr="00F90F41">
        <w:rPr>
          <w:rFonts w:ascii="Times New Roman" w:hAnsi="Times New Roman" w:cs="Times New Roman"/>
          <w:sz w:val="24"/>
          <w:szCs w:val="24"/>
        </w:rPr>
        <w:t xml:space="preserve"> исполнения которых являются средства, указанные в абзацах со второго по четвертый настоящего пункта (далее - контракт (договор);</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положениями федеральных законов, решений Правительства Российской Федерации, принятых в случаях, установленных подпунктом 2 пункта 1 статьи 242.26 Бюджетного кодекса Российской Федерации, определяющих целевые средства, не указанные в абзацах втором - пятом настоящего пункта, и требования по их использованию (далее при совместном упоминании - Решения).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1.2. Информирование о применении мер реагирования при проведении бюджетного мониторинга в системе казначейских платежей:</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xml:space="preserve">- муниципального заказчика, заказчика по контракту учреждения, получателя бюджетных средств, которому доведены лимиты бюджетных обязательств на предоставление субсидий (бюджетных инвестиций) (далее - получатель бюджетных средств), а также получателя субсидии (бюджетных инвестиций), поставщика (подрядчика, исполнителя) по муниципальному контракту, контракту учреждения, </w:t>
      </w:r>
      <w:r w:rsidRPr="00F90F41">
        <w:rPr>
          <w:rFonts w:ascii="Times New Roman" w:hAnsi="Times New Roman" w:cs="Times New Roman"/>
          <w:sz w:val="24"/>
          <w:szCs w:val="24"/>
        </w:rPr>
        <w:lastRenderedPageBreak/>
        <w:t>контракту (договору), осуществляющих функции заказчиков по соответствующему контракту (договору) (далее - заказчик по контракту (договору) (далее при совместном упоминании - заказчик);</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участников казначейского сопровождения, которым открыты лицевые счета, предусмотренные пунктом 7.1 статьи 220.1 Бюджетного кодекса Российской Федерации (далее - лицевой счет), в финансовом органе в установленном им порядке (далее - Порядок открытия лицевых счетов).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2. Положения настоящего Порядка, установленные для договоров (соглашений), контрактов (договоров), распространяются на концессионные соглашения, соглашения о </w:t>
      </w:r>
      <w:proofErr w:type="spellStart"/>
      <w:r w:rsidRPr="00F90F41">
        <w:rPr>
          <w:rFonts w:ascii="Times New Roman" w:hAnsi="Times New Roman" w:cs="Times New Roman"/>
          <w:sz w:val="24"/>
          <w:szCs w:val="24"/>
        </w:rPr>
        <w:t>муниципально-частном</w:t>
      </w:r>
      <w:proofErr w:type="spellEnd"/>
      <w:r w:rsidRPr="00F90F41">
        <w:rPr>
          <w:rFonts w:ascii="Times New Roman" w:hAnsi="Times New Roman" w:cs="Times New Roman"/>
          <w:sz w:val="24"/>
          <w:szCs w:val="24"/>
        </w:rPr>
        <w:t xml:space="preserve"> партнерстве, контракты (договоры), источником финансового обеспечения которых являются указанные соглашения, если Решениями предусмотрены требования об осуществлении казначейского сопровождения средств, предоставляемых на основании таких соглашений.</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3. Финансовый орган осуществляет проведение операций со средствами участников казначейского сопровождения.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4. </w:t>
      </w:r>
      <w:proofErr w:type="gramStart"/>
      <w:r w:rsidRPr="00F90F41">
        <w:rPr>
          <w:rFonts w:ascii="Times New Roman" w:hAnsi="Times New Roman" w:cs="Times New Roman"/>
          <w:sz w:val="24"/>
          <w:szCs w:val="24"/>
        </w:rPr>
        <w:t>При санкционировании операций с целевыми средствами обмен документами между финансовым органом и заказчиком, участником казначейского сопровождения осуществляется с применением усиленной квалифицированной электронной подписи лица (далее - электронная подпись), уполномоченного действовать от имени заказчика и участника казначейского сопровождения на основании договора об обмене электронными документами между участниками юридически значимого документооборота, заключенного с финансовым органом.</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Обмен документами при отсутств</w:t>
      </w:r>
      <w:proofErr w:type="gramStart"/>
      <w:r w:rsidRPr="00F90F41">
        <w:rPr>
          <w:rFonts w:ascii="Times New Roman" w:hAnsi="Times New Roman" w:cs="Times New Roman"/>
          <w:sz w:val="24"/>
          <w:szCs w:val="24"/>
        </w:rPr>
        <w:t>ии у у</w:t>
      </w:r>
      <w:proofErr w:type="gramEnd"/>
      <w:r w:rsidRPr="00F90F41">
        <w:rPr>
          <w:rFonts w:ascii="Times New Roman" w:hAnsi="Times New Roman" w:cs="Times New Roman"/>
          <w:sz w:val="24"/>
          <w:szCs w:val="24"/>
        </w:rPr>
        <w:t>частника казначейского сопровождения технической возможности информационного обмена с применением электронной подписи осуществляется с применением документооборота на бумажном носителе с одновременным представлением документов на машинном носителе, подписанных в соответствии с карточкой образцов подписей и оттиска печати.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4" w:name="Par60"/>
      <w:bookmarkEnd w:id="4"/>
      <w:r w:rsidRPr="00F90F41">
        <w:rPr>
          <w:rFonts w:ascii="Times New Roman" w:hAnsi="Times New Roman" w:cs="Times New Roman"/>
          <w:sz w:val="24"/>
          <w:szCs w:val="24"/>
        </w:rPr>
        <w:t xml:space="preserve">5. </w:t>
      </w:r>
      <w:proofErr w:type="gramStart"/>
      <w:r w:rsidRPr="00F90F41">
        <w:rPr>
          <w:rFonts w:ascii="Times New Roman" w:hAnsi="Times New Roman" w:cs="Times New Roman"/>
          <w:sz w:val="24"/>
          <w:szCs w:val="24"/>
        </w:rPr>
        <w:t>Для санкционирования операций с целевыми средствами участник казначейского сопровождения формирует и представляет в финансовый орган Сведения об операциях с целевыми средствами на 20__ год и на плановый период 20__ - 20__ годов согласно приложению 1 к настоящему Порядку (далее - Сведения), в которых указываются источники поступлений целевых средств, направления расходования целевых средств (далее - целевые расходы) согласно приложению 2 к настоящему Порядку, обеспечивающие</w:t>
      </w:r>
      <w:proofErr w:type="gramEnd"/>
      <w:r w:rsidRPr="00F90F41">
        <w:rPr>
          <w:rFonts w:ascii="Times New Roman" w:hAnsi="Times New Roman" w:cs="Times New Roman"/>
          <w:sz w:val="24"/>
          <w:szCs w:val="24"/>
        </w:rPr>
        <w:t xml:space="preserve"> достижение результата предоставления субсидии (бюджетной инвестиции), соответствующие предмету муниципального контракта, контракта учреждения, контракта (договора).</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6. Сведения для участника казначейского сопровождения, являющегося исполнителем (подрядчиком, поставщиком) по муниципальному контракту, контракту учреждения, утверждаются в электронном виде или при отсутствии технической возможности на бумажном носителе соответственно муниципальным заказчиком, муниципальным бюджетным, автономным учреждением.</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Сведения для участника казначейского сопровождения, являющегося получателем субсидии (бюджетной инвестиции) по договору (соглашению), утверждаются в электронном виде или при отсутствии технической возможности на бумажном носителе получателем бюджетных средств.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Сведения для участника казначейского сопровождения, являющегося исполнителем по контракту (договору), утверждаются в электронном виде или при отсутствии технической возможности на бумажном носителе соответственно участником казначейского сопровождения, являющимся заказчиком по контракту (договору), получателем субсидии (бюджетной инвестиции) по договору (соглашению).</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Сведения для участника казначейского сопровождения в случае, установленном Решением, по средствам, поступающим ему в результате финансово-хозяйственной </w:t>
      </w:r>
      <w:r w:rsidRPr="00F90F41">
        <w:rPr>
          <w:rFonts w:ascii="Times New Roman" w:hAnsi="Times New Roman" w:cs="Times New Roman"/>
          <w:sz w:val="24"/>
          <w:szCs w:val="24"/>
        </w:rPr>
        <w:lastRenderedPageBreak/>
        <w:t>деятельности, утверждаются в электронном виде или при отсутствии технической возможности на бумажном носителе получателем бюджетных средств.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В случае реорганизации (ликвидации) заказчика санкционирование расходов участника казначейского сопровождения, источником финансового обеспечения которых является неиспользованный остаток целевых средств по муниципальному контракту, контракту учреждения, договору (соглашению), контракту (договору) (далее при совместном упоминании - документ, обосновывающий обязательство), обязательства по которому исполнены в полном объеме, осуществляется в соответствии со Сведениями, ранее утвержденными реорганизованным (ликвидированным) заказчиком, а при отсутствии ранее утвержденных Сведений в соответствии</w:t>
      </w:r>
      <w:proofErr w:type="gramEnd"/>
      <w:r w:rsidRPr="00F90F41">
        <w:rPr>
          <w:rFonts w:ascii="Times New Roman" w:hAnsi="Times New Roman" w:cs="Times New Roman"/>
          <w:sz w:val="24"/>
          <w:szCs w:val="24"/>
        </w:rPr>
        <w:t xml:space="preserve"> со Сведениями, утвержденными правопреемником реорганизованного (ликвидированного) заказчика, по документу, обосновывающему обязательство.</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В случае реорганизации участника казначейского сопровождения санкционирование расходов участника казначейского сопровождения, источником финансового обеспечения которых является неиспользованный остаток целевых средств по документу, обосновывающему обязательство, обязательства по которому исполнены в полном объеме, осуществляется в соответствии со Сведениями, утвержденными заказчиком в порядке, предусмотренном настоящим пунктом.</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Заказчик не позднее третьего рабочего дня со дня поступления от участника казначейского сопровождения Сведений утверждает их на срок действия документа, обосновывающего обязательство, или отказывает участнику казначейского сопровождения в утверждении Сведений в случае, если источники поступлений и направления расходования целевых средств, указанные в Сведениях, не соответствуют результатам их предоставления, с указанием причины, по которой они не могут быть утверждены, направленной в</w:t>
      </w:r>
      <w:proofErr w:type="gramEnd"/>
      <w:r w:rsidRPr="00F90F41">
        <w:rPr>
          <w:rFonts w:ascii="Times New Roman" w:hAnsi="Times New Roman" w:cs="Times New Roman"/>
          <w:sz w:val="24"/>
          <w:szCs w:val="24"/>
        </w:rPr>
        <w:t xml:space="preserve"> электронном </w:t>
      </w:r>
      <w:proofErr w:type="gramStart"/>
      <w:r w:rsidRPr="00F90F41">
        <w:rPr>
          <w:rFonts w:ascii="Times New Roman" w:hAnsi="Times New Roman" w:cs="Times New Roman"/>
          <w:sz w:val="24"/>
          <w:szCs w:val="24"/>
        </w:rPr>
        <w:t>виде</w:t>
      </w:r>
      <w:proofErr w:type="gramEnd"/>
      <w:r w:rsidRPr="00F90F41">
        <w:rPr>
          <w:rFonts w:ascii="Times New Roman" w:hAnsi="Times New Roman" w:cs="Times New Roman"/>
          <w:sz w:val="24"/>
          <w:szCs w:val="24"/>
        </w:rPr>
        <w:t xml:space="preserve"> или при отсутствии технической возможности в произвольной письменной форме на официальном бланке заказчика, подписанной руководителем заказчика или иным лицом, уполномоченным действовать от имени заказчика (далее - иное уполномоченное лицо).</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5" w:name="Par69"/>
      <w:bookmarkEnd w:id="5"/>
      <w:r w:rsidRPr="00F90F41">
        <w:rPr>
          <w:rFonts w:ascii="Times New Roman" w:hAnsi="Times New Roman" w:cs="Times New Roman"/>
          <w:sz w:val="24"/>
          <w:szCs w:val="24"/>
        </w:rPr>
        <w:t xml:space="preserve">7. </w:t>
      </w:r>
      <w:proofErr w:type="gramStart"/>
      <w:r w:rsidRPr="00F90F41">
        <w:rPr>
          <w:rFonts w:ascii="Times New Roman" w:hAnsi="Times New Roman" w:cs="Times New Roman"/>
          <w:sz w:val="24"/>
          <w:szCs w:val="24"/>
        </w:rPr>
        <w:t>Основанием для санкционирования целевых расходов участника казначейского сопровождения, являющегося получателем субсидии или бюджетной инвестиции, источником финансового обеспечения которых являются не использованные на начало текущего финансового года остатки субсидий или бюджетных инвестиций, а также средства от возврата ранее произведенных участником казначейского сопровождения выплат прошлых лет (далее - дебиторская задолженность), источником финансового обеспечения которой являются указанные субсидии или бюджетные инвестиции, в отношении которых</w:t>
      </w:r>
      <w:proofErr w:type="gramEnd"/>
      <w:r w:rsidRPr="00F90F41">
        <w:rPr>
          <w:rFonts w:ascii="Times New Roman" w:hAnsi="Times New Roman" w:cs="Times New Roman"/>
          <w:sz w:val="24"/>
          <w:szCs w:val="24"/>
        </w:rPr>
        <w:t xml:space="preserve"> принято решение соответствующего получателя бюджетных средств об их использовании для достижения результатов, установленных при предоставлении целевых средств, являются Сведения, утвержденные соответствующим получателем бюджетных средств.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xml:space="preserve">Финансовый орган не позднее третьего рабочего дня, следующего за днем представления участником казначейского сопровождения Сведений, указанных в абзаце первом настоящего пункта, проверяет их на </w:t>
      </w:r>
      <w:proofErr w:type="spellStart"/>
      <w:r w:rsidRPr="00F90F41">
        <w:rPr>
          <w:rFonts w:ascii="Times New Roman" w:hAnsi="Times New Roman" w:cs="Times New Roman"/>
          <w:sz w:val="24"/>
          <w:szCs w:val="24"/>
        </w:rPr>
        <w:t>непревышение</w:t>
      </w:r>
      <w:proofErr w:type="spellEnd"/>
      <w:r w:rsidRPr="00F90F41">
        <w:rPr>
          <w:rFonts w:ascii="Times New Roman" w:hAnsi="Times New Roman" w:cs="Times New Roman"/>
          <w:sz w:val="24"/>
          <w:szCs w:val="24"/>
        </w:rPr>
        <w:t xml:space="preserve"> суммы разрешенного к использованию остатка целевых средств (разрешенной к использованию суммы возврата дебиторской задолженности) над суммой соответствующего остатка целевых средств (суммой возврата дебиторской задолженности), учтенного на лицевом счете, открытом участнику казначейского сопровождения.</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До предоставления участником казначейского сопровождения Сведений, указанных в абзаце первом настоящего пункта, в которых отражены суммы не использованных на начало текущего финансового года остатков субсидий (бюджетных инвестиций), а также средств от возврата дебиторской задолженности, такие средства учитываются финансовым органом на лицевом счете без права расходования.</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6" w:name="Par72"/>
      <w:bookmarkEnd w:id="6"/>
      <w:r w:rsidRPr="00F90F41">
        <w:rPr>
          <w:rFonts w:ascii="Times New Roman" w:hAnsi="Times New Roman" w:cs="Times New Roman"/>
          <w:sz w:val="24"/>
          <w:szCs w:val="24"/>
        </w:rPr>
        <w:lastRenderedPageBreak/>
        <w:t>8. При внесении изменений в Сведения участник казначейского сопровождения представляет в финансовый орган Сведения, в которых указываются показатели с учетом вносимых изменений.</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В случае уменьшения планируемых в текущем финансовом году поступлений целевых средств суммы поступлений по кодам источников поступлений, включая разрешенный к использованию остаток целевых средств (с учетом вносимых изменений), указанные в Сведениях, должны быть больше или равны сумме фактических поступлений по соответствующему коду источников поступлений, отраженных на лицевом счете на дату внесения изменений.</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В случае уменьшения планируемых в текущем финансовом году целевых расходов сумма планируемых выплат по кодам направлений расходования целевых средств, указанная в Сведениях, должна быть больше или равна сумме произведенных целевых расходов по соответствующему коду выплат, отраженных на лицевом счете на дату внесения изменений.</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9. Утвержденные в соответствии с положениями настоящего Порядка Сведения представляются участником казначейского сопровождения в финансовый орган. Финансовый орган осуществляет проверку представленных участником казначейского сопровождения Сведений и не позднее третьего рабочего дня, следующего за днем представления Сведений:</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отражает показатели Сведений на лицевом счете в случае соответствия представленных Сведений пунктам 5-8 настоящего Порядка;</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возвращает Сведения с указанием причины возврата в случае несоответствия их пунктам 5-8 настоящего Порядка.</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Финансовый орган в случае представления Сведений, предусмотренных пунктом 7 настоящего Порядка, дополнительно проверяет их на </w:t>
      </w:r>
      <w:proofErr w:type="spellStart"/>
      <w:r w:rsidRPr="00F90F41">
        <w:rPr>
          <w:rFonts w:ascii="Times New Roman" w:hAnsi="Times New Roman" w:cs="Times New Roman"/>
          <w:sz w:val="24"/>
          <w:szCs w:val="24"/>
        </w:rPr>
        <w:t>непревышение</w:t>
      </w:r>
      <w:proofErr w:type="spellEnd"/>
      <w:r w:rsidRPr="00F90F41">
        <w:rPr>
          <w:rFonts w:ascii="Times New Roman" w:hAnsi="Times New Roman" w:cs="Times New Roman"/>
          <w:sz w:val="24"/>
          <w:szCs w:val="24"/>
        </w:rPr>
        <w:t xml:space="preserve"> суммы разрешенного к использованию остатка целевых средств (разрешенной к использованию суммы возврата дебиторской задолженности) над суммой соответствующего остатка целевых средств (суммой возврата дебиторской задолженности), учтенного на лицевом счете, открытом участнику казначейского сопровождения.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10. Участник казначейского сопровождения в целях санкционирования целевых расходов представляет в финансовый орган «Заявку </w:t>
      </w:r>
      <w:r>
        <w:rPr>
          <w:rFonts w:ascii="Times New Roman" w:hAnsi="Times New Roman" w:cs="Times New Roman"/>
          <w:sz w:val="24"/>
          <w:szCs w:val="24"/>
        </w:rPr>
        <w:t>бюджетополучателя</w:t>
      </w:r>
      <w:r w:rsidRPr="00F90F41">
        <w:rPr>
          <w:rFonts w:ascii="Times New Roman" w:hAnsi="Times New Roman" w:cs="Times New Roman"/>
          <w:sz w:val="24"/>
          <w:szCs w:val="24"/>
        </w:rPr>
        <w:t>» (далее - Заявка), сформированную в электронном виде в программном комплексе «</w:t>
      </w:r>
      <w:proofErr w:type="spellStart"/>
      <w:r w:rsidRPr="00F90F41">
        <w:rPr>
          <w:rFonts w:ascii="Times New Roman" w:hAnsi="Times New Roman" w:cs="Times New Roman"/>
          <w:sz w:val="24"/>
          <w:szCs w:val="24"/>
        </w:rPr>
        <w:t>Бюджет-Смарт</w:t>
      </w:r>
      <w:proofErr w:type="spellEnd"/>
      <w:r w:rsidRPr="00F90F41">
        <w:rPr>
          <w:rFonts w:ascii="Times New Roman" w:hAnsi="Times New Roman" w:cs="Times New Roman"/>
          <w:sz w:val="24"/>
          <w:szCs w:val="24"/>
        </w:rPr>
        <w:t xml:space="preserve"> ПРО»  (далее - ПК).</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 В случае отсутствия технической возможности подписать Заявку электронной подписью участник казначейского сопровождения имеет право представить заявку на бумажном носителе, подписанную в соответствии с карточкой образцов подписей и оттиска печати. В этом случае к Заявке прикрепляется файл, содержащий письмо о представлении Заявки в финансовый орган на бумажном носителе с указанием причины отсутствия технической возможности.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11. Финансовый орган для проведения Управлением федерального казначейства по Астраханской области проверок в рамках бюджетного мониторинга представляет информацию, содержащуюся в Заявках участников казначейского сопровождения, согласно приложению к порядку, установленному нормативным правовым актом Министерства финансов Российской Федерации на основании пункта 4 статьи 242.23 Бюджетного кодекса Российской Федерации.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При санкционировании операций с целевыми средствами в отношении участника казначейского сопровождения, являющегося поставщиком (подрядчиком, исполнителем) по муниципальному контракту, контракту учреждения, проверка наличия оснований, указанных в пункте 10 статьи 242.13-1 Бюджетного кодекса Российской Федерации, не осуществляется.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lastRenderedPageBreak/>
        <w:t>12. Финансовый орган на основании информации о результатах проверки в рамках бюджетного мониторинга, полученной от Управления федерального казначейства по Астраханской области, осуществляет:</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проведение операции на лицевом счете при отсутствии оснований и признаков, включенных в классификатор признаков финансовых нарушений, предусмотренный пунктом 13 статьи 242.13-1 Бюджетного кодекса Российской Федерации (далее - классификатор признаков финансовых нарушений) для применения мер реагирования, предусмотренных подпунктом 1 пункта 3 и подпунктами 3 и 4 пункта 5 статьи 242.13-1 Бюджетного кодекса Российской Федерации, в сроки, установленные пунктом 19 настоящего</w:t>
      </w:r>
      <w:proofErr w:type="gramEnd"/>
      <w:r w:rsidRPr="00F90F41">
        <w:rPr>
          <w:rFonts w:ascii="Times New Roman" w:hAnsi="Times New Roman" w:cs="Times New Roman"/>
          <w:sz w:val="24"/>
          <w:szCs w:val="24"/>
        </w:rPr>
        <w:t xml:space="preserve"> Порядка;</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7" w:name="Par85"/>
      <w:bookmarkEnd w:id="7"/>
      <w:proofErr w:type="gramStart"/>
      <w:r w:rsidRPr="00F90F41">
        <w:rPr>
          <w:rFonts w:ascii="Times New Roman" w:hAnsi="Times New Roman" w:cs="Times New Roman"/>
          <w:sz w:val="24"/>
          <w:szCs w:val="24"/>
        </w:rPr>
        <w:t>- запрет (отказ) в осуществлении операции на лицевом счете, предусмотренный подпунктами 3 и 4 пункта 5 статьи 242.13-1 Бюджетного кодекса Российской Федерации, при наличии оснований, указанных в пунктах 10 и 11 статьи 242.13-1 Бюджетного кодекса Российской Федерации, и направляет заказчику в электронном виде или при отсутствии технической возможности в письменном виде Уведомление о запрете (об отказе) осуществления операций на</w:t>
      </w:r>
      <w:proofErr w:type="gramEnd"/>
      <w:r w:rsidRPr="00F90F41">
        <w:rPr>
          <w:rFonts w:ascii="Times New Roman" w:hAnsi="Times New Roman" w:cs="Times New Roman"/>
          <w:sz w:val="24"/>
          <w:szCs w:val="24"/>
        </w:rPr>
        <w:t xml:space="preserve"> лицевом </w:t>
      </w:r>
      <w:proofErr w:type="gramStart"/>
      <w:r w:rsidRPr="00F90F41">
        <w:rPr>
          <w:rFonts w:ascii="Times New Roman" w:hAnsi="Times New Roman" w:cs="Times New Roman"/>
          <w:sz w:val="24"/>
          <w:szCs w:val="24"/>
        </w:rPr>
        <w:t>счете</w:t>
      </w:r>
      <w:proofErr w:type="gramEnd"/>
      <w:r w:rsidRPr="00F90F41">
        <w:rPr>
          <w:rFonts w:ascii="Times New Roman" w:hAnsi="Times New Roman" w:cs="Times New Roman"/>
          <w:sz w:val="24"/>
          <w:szCs w:val="24"/>
        </w:rPr>
        <w:t xml:space="preserve"> (об отмене запрета (отказа) осуществления операций на лицевом счете) согласно приложению 3 к настоящему Порядку не позднее третьего рабочего дня, следующего за днем поступления информации от Управления федерального казначейства по Астраханской области;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8" w:name="Par86"/>
      <w:bookmarkEnd w:id="8"/>
      <w:proofErr w:type="gramStart"/>
      <w:r w:rsidRPr="00F90F41">
        <w:rPr>
          <w:rFonts w:ascii="Times New Roman" w:hAnsi="Times New Roman" w:cs="Times New Roman"/>
          <w:sz w:val="24"/>
          <w:szCs w:val="24"/>
        </w:rPr>
        <w:t>- приостановление операции на лицевом счете, предусмотренное подпунктом 1 пункта 3 статьи 242.13-1 Бюджетного кодекса Российской Федерации, при наличии признаков, включенных в классификатор признаков финансовых нарушений, и направляет участнику казначейского сопровождения, заказчику в электронном виде или при отсутствии технической возможности в письменном виде Уведомление о приостановлении операции на лицевом счете согласно приложению 4 к настоящему Порядку не позднее третьего рабочего</w:t>
      </w:r>
      <w:proofErr w:type="gramEnd"/>
      <w:r w:rsidRPr="00F90F41">
        <w:rPr>
          <w:rFonts w:ascii="Times New Roman" w:hAnsi="Times New Roman" w:cs="Times New Roman"/>
          <w:sz w:val="24"/>
          <w:szCs w:val="24"/>
        </w:rPr>
        <w:t xml:space="preserve"> дня, следующего за днем поступления информации от Управления федерального казначейства по Астраханской области;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предупреждение (информирование) при осуществлении операций на лицевых счетах, предусмотренное подпунктом 2 пункта 3 статьи 242.13-1 Бюджетного кодекса Российской Федерации, при наличии признаков, включенных в классификатор признаков финансовых нарушений, и направляет участнику казначейского сопровождения, заказчику в электронном виде или при отсутствии технической возможности в письменном виде Предупреждение (информирование) о наличии признаков финансовых нарушений при осуществлении операций на лицевых счетах участников</w:t>
      </w:r>
      <w:proofErr w:type="gramEnd"/>
      <w:r w:rsidRPr="00F90F41">
        <w:rPr>
          <w:rFonts w:ascii="Times New Roman" w:hAnsi="Times New Roman" w:cs="Times New Roman"/>
          <w:sz w:val="24"/>
          <w:szCs w:val="24"/>
        </w:rPr>
        <w:t xml:space="preserve"> казначейского сопровождения согласно приложению 5 к настоящему Порядку не позднее третьего рабочего дня, следующего за днем исполнения Заявок.</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9" w:name="Par88"/>
      <w:bookmarkEnd w:id="9"/>
      <w:r w:rsidRPr="00F90F41">
        <w:rPr>
          <w:rFonts w:ascii="Times New Roman" w:hAnsi="Times New Roman" w:cs="Times New Roman"/>
          <w:sz w:val="24"/>
          <w:szCs w:val="24"/>
        </w:rPr>
        <w:t xml:space="preserve">13. </w:t>
      </w:r>
      <w:proofErr w:type="gramStart"/>
      <w:r w:rsidRPr="00F90F41">
        <w:rPr>
          <w:rFonts w:ascii="Times New Roman" w:hAnsi="Times New Roman" w:cs="Times New Roman"/>
          <w:sz w:val="24"/>
          <w:szCs w:val="24"/>
        </w:rPr>
        <w:t>Заказчик не позднее второго рабочего дня со дня получения Уведомления о приостановлении операции на лицевом счете направляет в финансовый орган в электронном виде или при отсутствии технической возможности в письменном виде Уведомление об обоснованности или о необоснованности приостановления операции на лицевом счете согласно приложению 6 к настоящему Порядку, в котором отражается соответствующее решение заказчика.</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В случае </w:t>
      </w:r>
      <w:proofErr w:type="spellStart"/>
      <w:r w:rsidRPr="00F90F41">
        <w:rPr>
          <w:rFonts w:ascii="Times New Roman" w:hAnsi="Times New Roman" w:cs="Times New Roman"/>
          <w:sz w:val="24"/>
          <w:szCs w:val="24"/>
        </w:rPr>
        <w:t>непоступления</w:t>
      </w:r>
      <w:proofErr w:type="spellEnd"/>
      <w:r w:rsidRPr="00F90F41">
        <w:rPr>
          <w:rFonts w:ascii="Times New Roman" w:hAnsi="Times New Roman" w:cs="Times New Roman"/>
          <w:sz w:val="24"/>
          <w:szCs w:val="24"/>
        </w:rPr>
        <w:t xml:space="preserve"> от заказчика Уведомления, указанного в абзаце первом настоящего пункта, в течение трех рабочих дней со дня информирования финансовым органом, финансовый орган осуществляет проведение операции на лицевом счете участника казначейского сопровождения.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14. </w:t>
      </w:r>
      <w:proofErr w:type="gramStart"/>
      <w:r w:rsidRPr="00F90F41">
        <w:rPr>
          <w:rFonts w:ascii="Times New Roman" w:hAnsi="Times New Roman" w:cs="Times New Roman"/>
          <w:sz w:val="24"/>
          <w:szCs w:val="24"/>
        </w:rPr>
        <w:t xml:space="preserve">Финансовый орган при получении информации от Управления федерального казначейства по Астраханской области об устранении оснований, предусмотренных пунктами 10 и 11 статьи 242.13-1 Бюджетного кодекса Российской Федерации, повлекших применение соответствующих мер реагирования, не позднее третьего рабочего дня после дня получения указанной информации отменяет примененные меры реагирования на лицевом счете и направляет участнику казначейского сопровождения и заказчику в </w:t>
      </w:r>
      <w:r w:rsidRPr="00F90F41">
        <w:rPr>
          <w:rFonts w:ascii="Times New Roman" w:hAnsi="Times New Roman" w:cs="Times New Roman"/>
          <w:sz w:val="24"/>
          <w:szCs w:val="24"/>
        </w:rPr>
        <w:lastRenderedPageBreak/>
        <w:t>электронном виде или</w:t>
      </w:r>
      <w:proofErr w:type="gramEnd"/>
      <w:r w:rsidRPr="00F90F41">
        <w:rPr>
          <w:rFonts w:ascii="Times New Roman" w:hAnsi="Times New Roman" w:cs="Times New Roman"/>
          <w:sz w:val="24"/>
          <w:szCs w:val="24"/>
        </w:rPr>
        <w:t xml:space="preserve"> при отсутствии технической возможности в письменном виде Уведомление о запрете (об отказе) осуществления операций на лицевом счете (об отмене запрета (отказа) осуществления операций на лицевом счете) согласно приложению 3 к настоящему Порядку.</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15. При санкционировании целевых расходов финансовый орган не принимает к исполнению Заявки участника казначейского сопровождения на перечисление целевых средств: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15.1. На счета, открытые участнику казначейского сопровождения в подразделении Центрального банка Российской Федерации или в кредитной организации (далее - банк), за исключением:</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оплаты обязательств участников казначейского сопровождения в соответствии с валютным законодательством Российской Федерации;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оплаты обязательств участников казначейского сопровождения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10" w:name="Par95"/>
      <w:bookmarkEnd w:id="10"/>
      <w:proofErr w:type="gramStart"/>
      <w:r w:rsidRPr="00F90F41">
        <w:rPr>
          <w:rFonts w:ascii="Times New Roman" w:hAnsi="Times New Roman" w:cs="Times New Roman"/>
          <w:sz w:val="24"/>
          <w:szCs w:val="24"/>
        </w:rPr>
        <w:t>- оплаты фактически поставленных товаров, выполненных работ, оказанных услуг, источником финансового обеспечения которых являются целевые средства, в случае, если юридическое лицо не привлекает для поставки товаров, выполнения работ, оказания услуг иных участников казначейского сопровождения, а также при условии представления документов, подтверждающих факт поставки товаров, выполнения работ, оказания услуг и (или) иных документов, предусмотренных муниципальными контрактами, контрактами учреждений, договорами (соглашениями), контрактами (договорами</w:t>
      </w:r>
      <w:proofErr w:type="gramEnd"/>
      <w:r w:rsidRPr="00F90F41">
        <w:rPr>
          <w:rFonts w:ascii="Times New Roman" w:hAnsi="Times New Roman" w:cs="Times New Roman"/>
          <w:sz w:val="24"/>
          <w:szCs w:val="24"/>
        </w:rPr>
        <w:t>) (далее - документы-основания);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возмещения произведенных участником казначейского сопровождения расходов (части расходов) при условии представления документов, указанных в абзаце четвертом настоящего пункта (в случае оплаты обязательств по накладным расходам представление документов-оснований не требуется), копий платежных поручений, реестров платежных поручений и иных документов, подтверждающих оплату произведенных участником казначейского сопровождения целевых расходов (части расходов), если условиями муниципального контракта, контракта учреждения, договора (соглашения), контракта (договора) предусмотрено возмещение</w:t>
      </w:r>
      <w:proofErr w:type="gramEnd"/>
      <w:r w:rsidRPr="00F90F41">
        <w:rPr>
          <w:rFonts w:ascii="Times New Roman" w:hAnsi="Times New Roman" w:cs="Times New Roman"/>
          <w:sz w:val="24"/>
          <w:szCs w:val="24"/>
        </w:rPr>
        <w:t xml:space="preserve"> произведенных участником казначейского сопровождения расходов (части расходов);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выплаты прибыли после исполнения участником казначейского сопровождения всех обязательств (части обязательств) по муниципальному контракту, контракту учреждения, контракту (договору) (этапов муниципального контракта, контракта учреждения, контракта (договора) (в случае, если это предусмотрено условиями муниципального контракта, контракта учреждения, контракта (договора);</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оплаты обязательств по накладным расходам, связанным с исполнением муниципального контракта, контракта учреждения, договора (соглашения), контракта (договора), в соответствии с пунктом 18 настоящего Порядка;</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оплаты обязательств участника казначейского сопровождения по контрактам (договорам), заключаемым в целях приобретения услуг связи по приему, обработке, хранению, передаче, доставке сообщений электросвязи 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w:t>
      </w:r>
      <w:proofErr w:type="gramEnd"/>
      <w:r w:rsidRPr="00F90F41">
        <w:rPr>
          <w:rFonts w:ascii="Times New Roman" w:hAnsi="Times New Roman" w:cs="Times New Roman"/>
          <w:sz w:val="24"/>
          <w:szCs w:val="24"/>
        </w:rPr>
        <w:t xml:space="preserve"> </w:t>
      </w:r>
      <w:proofErr w:type="gramStart"/>
      <w:r w:rsidRPr="00F90F41">
        <w:rPr>
          <w:rFonts w:ascii="Times New Roman" w:hAnsi="Times New Roman" w:cs="Times New Roman"/>
          <w:sz w:val="24"/>
          <w:szCs w:val="24"/>
        </w:rPr>
        <w:t xml:space="preserve">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w:t>
      </w:r>
      <w:r w:rsidRPr="00F90F41">
        <w:rPr>
          <w:rFonts w:ascii="Times New Roman" w:hAnsi="Times New Roman" w:cs="Times New Roman"/>
          <w:sz w:val="24"/>
          <w:szCs w:val="24"/>
        </w:rPr>
        <w:lastRenderedPageBreak/>
        <w:t>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15.2. </w:t>
      </w:r>
      <w:proofErr w:type="gramStart"/>
      <w:r w:rsidRPr="00F90F41">
        <w:rPr>
          <w:rFonts w:ascii="Times New Roman" w:hAnsi="Times New Roman" w:cs="Times New Roman"/>
          <w:sz w:val="24"/>
          <w:szCs w:val="24"/>
        </w:rPr>
        <w:t>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банке;</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15.3. В целях размещения средств на депозиты,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11" w:name="Par102"/>
      <w:bookmarkEnd w:id="11"/>
      <w:r w:rsidRPr="00F90F41">
        <w:rPr>
          <w:rFonts w:ascii="Times New Roman" w:hAnsi="Times New Roman" w:cs="Times New Roman"/>
          <w:sz w:val="24"/>
          <w:szCs w:val="24"/>
        </w:rPr>
        <w:t>16. Для санкционирования целевых расходов, связанных с поставкой товаров, выполнением работ, оказанием услуг, участник казначейского сопровождения вместе с Заявкой представляет в соответствии с настоящим пунктом в финансовый орган муниципальный контракт, контракт учреждения, контракт (договор) и документы-основания.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Документы, указанные в абзаце первом настоящего пункта, представляются участником казначейского сопровождения в финансовый орган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участника казначейского сопровождения.</w:t>
      </w:r>
      <w:proofErr w:type="gramEnd"/>
      <w:r w:rsidRPr="00F90F41">
        <w:rPr>
          <w:rFonts w:ascii="Times New Roman" w:hAnsi="Times New Roman" w:cs="Times New Roman"/>
          <w:sz w:val="24"/>
          <w:szCs w:val="24"/>
        </w:rPr>
        <w:t xml:space="preserve"> Если бумажный документ состоит из двух или более листов, электронная копия такого бумажного документа формируется в виде одного файла.</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Повторное представление муниципального контракта, контракта учреждения, контракта (договора) не требуется, если они уже были представлены в финансовый орган при открытии участнику казначейского сопровождения лицевого счета в соответствии с Порядком открытия лицевых счетов или если в соответствии с законодательством Российской Федерации ранее были размещены в единой информационной системе в сфере закупок.</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17. </w:t>
      </w:r>
      <w:proofErr w:type="gramStart"/>
      <w:r w:rsidRPr="00F90F41">
        <w:rPr>
          <w:rFonts w:ascii="Times New Roman" w:hAnsi="Times New Roman" w:cs="Times New Roman"/>
          <w:sz w:val="24"/>
          <w:szCs w:val="24"/>
        </w:rPr>
        <w:t>В случае соответствия Заявки положениям настоящего Порядка, а также при отсутствии оснований для применения мер реагирования, предусмотренных абзацами третьим, четвертым пункта 12 настоящего Порядка, заказчик не позднее третьего рабочего дня, следующего за днем представления участником казначейского сопровождения Заявки, формирует в ПК распоряжение о совершении казначейских платежей (далее – платежное поручение), на основании которого осуществляются операции по списанию средств с лицевого счета</w:t>
      </w:r>
      <w:proofErr w:type="gramEnd"/>
      <w:r w:rsidRPr="00F90F41">
        <w:rPr>
          <w:rFonts w:ascii="Times New Roman" w:hAnsi="Times New Roman" w:cs="Times New Roman"/>
          <w:sz w:val="24"/>
          <w:szCs w:val="24"/>
        </w:rPr>
        <w:t xml:space="preserve">. </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В случае наличия применения мер реагирования, предусмотренных абзацем четвертым пункта 12 настоящего Порядка, Заявка исполняется не позднее третьего рабочего дня после дня получения от заказчика Уведомления об обоснованности или о необоснованности приостановления операции на лицевом счете, указанного в пункте 13 настоящего Порядка.</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18. Финансовый орган при несоответствии Заявки и документов-оснований (при наличии) положениям настоящего Порядка, а также в случае применения мер реагирования, установленных абзацем третьим пункта 12 настоящего Порядка, а также в случае принятия заказчиком решения об обоснованности приостановления операции на лицевом счете участника казначейского сопровождения осуществляет отказ Заявки: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не позднее третьего рабочего дня, следующего за днем представления в финансовый орган участником казначейского сопровождения Заявки;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xml:space="preserve">- не позднее третьего рабочего дня, следующего за днем представления в финансовый орган Управление федерального казначейства по Астраханской области </w:t>
      </w:r>
      <w:r w:rsidRPr="00F90F41">
        <w:rPr>
          <w:rFonts w:ascii="Times New Roman" w:hAnsi="Times New Roman" w:cs="Times New Roman"/>
          <w:sz w:val="24"/>
          <w:szCs w:val="24"/>
        </w:rPr>
        <w:lastRenderedPageBreak/>
        <w:t>информации о запрете или отказе в осуществлении операций на лицевом счете участника казначейского сопровождения заказчиком уведомления, предусмотренного пунктом 13 настоящего Порядка, содержащим решение об обоснованности приостановления операции на лицевом счете участника казначейского сопровождения.</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19. Финансовый орган при санкционировании целевых расходов осуществляет проверку представленных участником казначейского сопровождения платежных поручений по следующим направлениям:</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90F41">
        <w:rPr>
          <w:rFonts w:ascii="Times New Roman" w:hAnsi="Times New Roman" w:cs="Times New Roman"/>
          <w:sz w:val="24"/>
          <w:szCs w:val="24"/>
        </w:rPr>
        <w:t>- наличие подписей, соответствующих имеющимся образцам, представленным участником казначейского сопровождения для открытия соответствующего лицевого счета в соответствии с Порядком открытия лицевых счетов;</w:t>
      </w:r>
      <w:proofErr w:type="gramEnd"/>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наличие в реквизите «Код» платежного поручения (в реквизите «Назначение платежа» платежного поручения в случае перечисления платежей в бюджеты бюджетной системы Российской Федерации) идентификатора муниципального контракта, контракта учреждения, договора (соглашения);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соответствие идентификатора муниципального контракта, контракта учреждения, договора (соглашения), указанного в платежном поручении, идентификатору, указанному в документе, обосновывающем обязательство, документах-основаниях и Сведениях;</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соответствие указанных в платежном поручении реквизитов (номер, дата) документа, обосновывающего обязательство, его реквизитам, указанным в Сведениях;</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соответствие наименования, ИНН, КПП, банковских реквизитов получателя денежных средств, указанных в платежном поручении, наименованию, ИНН, КПП, банковским реквизитам получателя денежных средств, указанным в документе, обосновывающем обязательство, и документах-основаниях;</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xml:space="preserve">- </w:t>
      </w:r>
      <w:proofErr w:type="spellStart"/>
      <w:r w:rsidRPr="00F90F41">
        <w:rPr>
          <w:rFonts w:ascii="Times New Roman" w:hAnsi="Times New Roman" w:cs="Times New Roman"/>
          <w:sz w:val="24"/>
          <w:szCs w:val="24"/>
        </w:rPr>
        <w:t>непревышение</w:t>
      </w:r>
      <w:proofErr w:type="spellEnd"/>
      <w:r w:rsidRPr="00F90F41">
        <w:rPr>
          <w:rFonts w:ascii="Times New Roman" w:hAnsi="Times New Roman" w:cs="Times New Roman"/>
          <w:sz w:val="24"/>
          <w:szCs w:val="24"/>
        </w:rPr>
        <w:t xml:space="preserve"> суммы, указанной в платежном поручении, над суммой остатка средств по соответствующему коду направления расходования целевых средств, указанной в Сведениях, и суммой остатка средств на лицевом счете по соответствующему документу, обосновывающему обязательство;</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наличие в платежном поручении на оплату целевых расходов, связанных с поставкой товаров (выполнением работ, оказанием услуг), реквизитов (тип, номер, дата) документа, обосновывающего обязательство, документов-оснований и их соответствие реквизитам документа, обосновывающего обязательство, документов-оснований, представленных вместе с платежным поручением в финансовый орган в соответствии с пунктом 16 настоящего Порядка;</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соответствие содержания операции по расходам, связанным с поставкой товаров, выполнением работ, оказанием услуг, исходя из документа-основания, текстовому назначению платежа, указанному в платежном поручении, предмету (результатам) и условиям документа, обосновывающего обязательство;</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соответствие текстового назначения платежа, указанного в платежном поручении, направлению расходования целевых средств, указанному в Сведениях по соответствующему коду направления расходования целевых средств;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соответствие периода, за который производится оплата (при наличии);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соответствие суммы налога на добавленную стоимость (при наличии).</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Документы-основания по оплате труда, начислениям на выплаты по оплате труда (за исключением выплат персоналу в натуральной форме, возмещения персоналу дополнительных расходов, связанных с проживанием вне места постоянного жительства в служебных командировках), социальных пособий и компенсаций персоналу в денежной форме, не представляются.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12" w:name="Par118"/>
      <w:bookmarkEnd w:id="12"/>
      <w:r w:rsidRPr="00F90F41">
        <w:rPr>
          <w:rFonts w:ascii="Times New Roman" w:hAnsi="Times New Roman" w:cs="Times New Roman"/>
          <w:sz w:val="24"/>
          <w:szCs w:val="24"/>
        </w:rPr>
        <w:t>20. Санкционирование целевых расходов с лицевых счетов участников казначейского сопровождения по коду направления расходования целевых средств «870» «Накладные расходы» на счета, открытые участникам казначейского сопровождения в кредитных организациях, осуществляется, в случае если в Сведениях предусмотрено соответствующее направление расходования целевых средств.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lastRenderedPageBreak/>
        <w:t>Для санкционирования расходов в целях оплаты обязательств по накладным расходам по документам, обосновывающим обязательства, представление документов-оснований не требуется.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bookmarkStart w:id="13" w:name="Par120"/>
      <w:bookmarkEnd w:id="13"/>
      <w:r w:rsidRPr="00F90F41">
        <w:rPr>
          <w:rFonts w:ascii="Times New Roman" w:hAnsi="Times New Roman" w:cs="Times New Roman"/>
          <w:sz w:val="24"/>
          <w:szCs w:val="24"/>
        </w:rPr>
        <w:t xml:space="preserve">21. </w:t>
      </w:r>
      <w:proofErr w:type="gramStart"/>
      <w:r w:rsidRPr="00F90F41">
        <w:rPr>
          <w:rFonts w:ascii="Times New Roman" w:hAnsi="Times New Roman" w:cs="Times New Roman"/>
          <w:sz w:val="24"/>
          <w:szCs w:val="24"/>
        </w:rPr>
        <w:t>Суммы, зачисленные на казначейский счет для учета денежных средств участника казначейского сопровождения на основании расчетных документов, в которых отсутствует информация, позволяющая определить принадлежность поступивших сумм, в том числе реквизиты документа, обосновывающего обязательство (дата, номер), и (или) идентификатор документа, обосновывающего обязательство, на основании которого открыт лицевой счет участнику казначейского сопровождения, не указан и (или) указан ошибочный номер лицевого счета участника казначейского</w:t>
      </w:r>
      <w:proofErr w:type="gramEnd"/>
      <w:r w:rsidRPr="00F90F41">
        <w:rPr>
          <w:rFonts w:ascii="Times New Roman" w:hAnsi="Times New Roman" w:cs="Times New Roman"/>
          <w:sz w:val="24"/>
          <w:szCs w:val="24"/>
        </w:rPr>
        <w:t xml:space="preserve"> сопровождения, учитываются в составе общего остатка на казначейском счете для учета денежных средств участника казначейского сопровождения как невыясненные поступления.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В случае если в расчетном документе, суммы по которому отнесены к невыясненным поступлениям, указаны ИНН (ИНН и КПП) и (или) наименование участника казначейского сопровождения, финансовый орган не позднее третьего рабочего дня после поступления выписки формирует и направляет предполагаемому получателю средств запрос на выяснение принадлежности платежа.</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Уточнение невыясненных поступлений осуществляется на основании «Уведомления об уточнении операций клиента», сформированного в ПК участником казначейского сопровождения.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Невыясненные поступления подлежат уточнению в течение 10 рабочих дней со дня их поступления на казначейский счет для учета денежных средств участника казначейского сопровождения, а в случае направления финансовым органом запроса на выяснение принадлежности платежа - в течение 10 рабочих дней со дня его получения участником казначейского сопровождения.</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Финансовый орган формирует расчетный документ на возврат указанных сре</w:t>
      </w:r>
      <w:proofErr w:type="gramStart"/>
      <w:r w:rsidRPr="00F90F41">
        <w:rPr>
          <w:rFonts w:ascii="Times New Roman" w:hAnsi="Times New Roman" w:cs="Times New Roman"/>
          <w:sz w:val="24"/>
          <w:szCs w:val="24"/>
        </w:rPr>
        <w:t>дств пл</w:t>
      </w:r>
      <w:proofErr w:type="gramEnd"/>
      <w:r w:rsidRPr="00F90F41">
        <w:rPr>
          <w:rFonts w:ascii="Times New Roman" w:hAnsi="Times New Roman" w:cs="Times New Roman"/>
          <w:sz w:val="24"/>
          <w:szCs w:val="24"/>
        </w:rPr>
        <w:t>ательщику:</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по истечении 10 рабочих дней со дня поступления на казначейский счет для учета денежных средств участника казначейского сопровождения невыясненных поступлений в случае, если расчетный документ не содержит реквизитов, позволяющих определить предполагаемого получателя средств;</w:t>
      </w:r>
    </w:p>
    <w:p w:rsidR="00E23744" w:rsidRPr="00F90F41" w:rsidRDefault="00E23744" w:rsidP="00E23744">
      <w:pPr>
        <w:autoSpaceDE w:val="0"/>
        <w:autoSpaceDN w:val="0"/>
        <w:adjustRightInd w:val="0"/>
        <w:spacing w:after="0" w:line="240" w:lineRule="auto"/>
        <w:ind w:firstLine="540"/>
        <w:jc w:val="both"/>
        <w:rPr>
          <w:rFonts w:ascii="Times New Roman" w:hAnsi="Times New Roman" w:cs="Times New Roman"/>
          <w:sz w:val="24"/>
          <w:szCs w:val="24"/>
        </w:rPr>
      </w:pPr>
      <w:r w:rsidRPr="00F90F41">
        <w:rPr>
          <w:rFonts w:ascii="Times New Roman" w:hAnsi="Times New Roman" w:cs="Times New Roman"/>
          <w:sz w:val="24"/>
          <w:szCs w:val="24"/>
        </w:rPr>
        <w:t>- по истечении 10 рабочих дней со дня получения участником казначейского сопровождения направленного ему финансовым органом запроса на выяснение принадлежности платежа в случае, если участник казначейского сопровождения не представил в управление казначейства «Уведомление об уточнении операций клиента».</w:t>
      </w:r>
    </w:p>
    <w:p w:rsidR="0047134A" w:rsidRDefault="0047134A"/>
    <w:sectPr w:rsidR="0047134A" w:rsidSect="004713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E23744"/>
    <w:rsid w:val="0047134A"/>
    <w:rsid w:val="007C0CEE"/>
    <w:rsid w:val="009A7037"/>
    <w:rsid w:val="00E237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744"/>
  </w:style>
  <w:style w:type="paragraph" w:styleId="1">
    <w:name w:val="heading 1"/>
    <w:basedOn w:val="a"/>
    <w:next w:val="a"/>
    <w:link w:val="10"/>
    <w:uiPriority w:val="9"/>
    <w:qFormat/>
    <w:rsid w:val="007C0CEE"/>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1"/>
    <w:next w:val="a"/>
    <w:link w:val="20"/>
    <w:uiPriority w:val="99"/>
    <w:qFormat/>
    <w:rsid w:val="007C0CEE"/>
    <w:pPr>
      <w:outlineLvl w:val="1"/>
    </w:pPr>
  </w:style>
  <w:style w:type="paragraph" w:styleId="3">
    <w:name w:val="heading 3"/>
    <w:basedOn w:val="2"/>
    <w:next w:val="a"/>
    <w:link w:val="30"/>
    <w:uiPriority w:val="99"/>
    <w:qFormat/>
    <w:rsid w:val="007C0CEE"/>
    <w:pPr>
      <w:outlineLvl w:val="2"/>
    </w:pPr>
  </w:style>
  <w:style w:type="paragraph" w:styleId="4">
    <w:name w:val="heading 4"/>
    <w:basedOn w:val="3"/>
    <w:next w:val="a"/>
    <w:link w:val="40"/>
    <w:uiPriority w:val="99"/>
    <w:qFormat/>
    <w:rsid w:val="007C0CEE"/>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0CEE"/>
    <w:rPr>
      <w:rFonts w:ascii="Arial" w:eastAsiaTheme="minorEastAsia" w:hAnsi="Arial" w:cs="Arial"/>
      <w:b/>
      <w:bCs/>
      <w:color w:val="26282F"/>
      <w:sz w:val="24"/>
      <w:szCs w:val="24"/>
      <w:lang w:eastAsia="ru-RU"/>
    </w:rPr>
  </w:style>
  <w:style w:type="character" w:customStyle="1" w:styleId="20">
    <w:name w:val="Заголовок 2 Знак"/>
    <w:basedOn w:val="a0"/>
    <w:link w:val="2"/>
    <w:uiPriority w:val="99"/>
    <w:rsid w:val="007C0CEE"/>
    <w:rPr>
      <w:rFonts w:ascii="Arial" w:eastAsiaTheme="minorEastAsia" w:hAnsi="Arial" w:cs="Arial"/>
      <w:b/>
      <w:bCs/>
      <w:color w:val="26282F"/>
      <w:sz w:val="24"/>
      <w:szCs w:val="24"/>
      <w:lang w:eastAsia="ru-RU"/>
    </w:rPr>
  </w:style>
  <w:style w:type="character" w:customStyle="1" w:styleId="30">
    <w:name w:val="Заголовок 3 Знак"/>
    <w:basedOn w:val="a0"/>
    <w:link w:val="3"/>
    <w:uiPriority w:val="99"/>
    <w:rsid w:val="007C0CEE"/>
    <w:rPr>
      <w:rFonts w:ascii="Arial" w:eastAsiaTheme="minorEastAsia" w:hAnsi="Arial" w:cs="Arial"/>
      <w:b/>
      <w:bCs/>
      <w:color w:val="26282F"/>
      <w:sz w:val="24"/>
      <w:szCs w:val="24"/>
      <w:lang w:eastAsia="ru-RU"/>
    </w:rPr>
  </w:style>
  <w:style w:type="character" w:customStyle="1" w:styleId="40">
    <w:name w:val="Заголовок 4 Знак"/>
    <w:basedOn w:val="a0"/>
    <w:link w:val="4"/>
    <w:uiPriority w:val="99"/>
    <w:rsid w:val="007C0CEE"/>
    <w:rPr>
      <w:rFonts w:ascii="Arial" w:eastAsiaTheme="minorEastAsia" w:hAnsi="Arial" w:cs="Arial"/>
      <w:b/>
      <w:bCs/>
      <w:color w:val="26282F"/>
      <w:sz w:val="24"/>
      <w:szCs w:val="24"/>
      <w:lang w:eastAsia="ru-RU"/>
    </w:rPr>
  </w:style>
  <w:style w:type="character" w:styleId="a3">
    <w:name w:val="Strong"/>
    <w:basedOn w:val="a0"/>
    <w:uiPriority w:val="22"/>
    <w:qFormat/>
    <w:rsid w:val="007C0CEE"/>
    <w:rPr>
      <w:b/>
      <w:bCs/>
    </w:rPr>
  </w:style>
  <w:style w:type="paragraph" w:styleId="a4">
    <w:name w:val="List Paragraph"/>
    <w:basedOn w:val="a"/>
    <w:uiPriority w:val="34"/>
    <w:qFormat/>
    <w:rsid w:val="007C0CEE"/>
    <w:pPr>
      <w:ind w:left="720"/>
      <w:contextualSpacing/>
    </w:pPr>
  </w:style>
  <w:style w:type="paragraph" w:customStyle="1" w:styleId="ConsPlusNormal">
    <w:name w:val="ConsPlusNormal"/>
    <w:link w:val="ConsPlusNormal0"/>
    <w:qFormat/>
    <w:rsid w:val="007C0CEE"/>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7C0CEE"/>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4671</Words>
  <Characters>26628</Characters>
  <Application>Microsoft Office Word</Application>
  <DocSecurity>0</DocSecurity>
  <Lines>221</Lines>
  <Paragraphs>62</Paragraphs>
  <ScaleCrop>false</ScaleCrop>
  <Company/>
  <LinksUpToDate>false</LinksUpToDate>
  <CharactersWithSpaces>31237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JJuravleva</dc:creator>
  <cp:lastModifiedBy>JJuravleva</cp:lastModifiedBy>
  <cp:revision>1</cp:revision>
  <dcterms:created xsi:type="dcterms:W3CDTF">2022-02-17T11:52:00Z</dcterms:created>
  <dcterms:modified xsi:type="dcterms:W3CDTF">2022-02-17T11:55:00Z</dcterms:modified>
</cp:coreProperties>
</file>